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033075" w14:textId="77777777" w:rsidR="00125961" w:rsidRDefault="00125961" w:rsidP="00125961">
      <w:pPr>
        <w:pStyle w:val="Default"/>
        <w:rPr>
          <w:b/>
          <w:bCs/>
          <w:sz w:val="28"/>
          <w:szCs w:val="28"/>
        </w:rPr>
      </w:pPr>
      <w:bookmarkStart w:id="0" w:name="_GoBack"/>
      <w:bookmarkEnd w:id="0"/>
      <w:r>
        <w:rPr>
          <w:b/>
          <w:bCs/>
          <w:sz w:val="28"/>
          <w:szCs w:val="28"/>
        </w:rPr>
        <w:t>Notfallzulassungen nach Art. 53 gegen Glasflügelzikaden als Bakterienvektoren in Zuckerrüben</w:t>
      </w:r>
    </w:p>
    <w:p w14:paraId="3A0FFE73" w14:textId="225102FB" w:rsidR="00125961" w:rsidRDefault="00125961" w:rsidP="00125961">
      <w:pPr>
        <w:pStyle w:val="Default"/>
        <w:rPr>
          <w:sz w:val="28"/>
          <w:szCs w:val="28"/>
        </w:rPr>
      </w:pPr>
      <w:r>
        <w:rPr>
          <w:b/>
          <w:bCs/>
          <w:sz w:val="22"/>
          <w:szCs w:val="22"/>
        </w:rPr>
        <w:t>Tabelle 1: Notfallzulassungen gegen Glasflügelzikaden als Bakterienvektoren in Zuckerrüben für 2026</w:t>
      </w:r>
    </w:p>
    <w:tbl>
      <w:tblPr>
        <w:tblW w:w="14742" w:type="dxa"/>
        <w:tblInd w:w="-60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85"/>
        <w:gridCol w:w="1276"/>
        <w:gridCol w:w="1134"/>
        <w:gridCol w:w="1417"/>
        <w:gridCol w:w="1418"/>
        <w:gridCol w:w="1417"/>
        <w:gridCol w:w="1276"/>
        <w:gridCol w:w="1134"/>
        <w:gridCol w:w="1276"/>
        <w:gridCol w:w="1134"/>
        <w:gridCol w:w="1275"/>
      </w:tblGrid>
      <w:tr w:rsidR="00125961" w:rsidRPr="00125961" w14:paraId="209DE77F" w14:textId="77777777" w:rsidTr="00125961">
        <w:tblPrEx>
          <w:tblCellMar>
            <w:top w:w="0" w:type="dxa"/>
            <w:bottom w:w="0" w:type="dxa"/>
          </w:tblCellMar>
        </w:tblPrEx>
        <w:trPr>
          <w:trHeight w:val="363"/>
        </w:trPr>
        <w:tc>
          <w:tcPr>
            <w:tcW w:w="1985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D9D9D9" w:themeFill="background1" w:themeFillShade="D9"/>
            <w:vAlign w:val="center"/>
          </w:tcPr>
          <w:p w14:paraId="12A14DC2" w14:textId="50FBDA8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Präparat </w:t>
            </w:r>
          </w:p>
        </w:tc>
        <w:tc>
          <w:tcPr>
            <w:tcW w:w="1276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E2EFD9" w:themeFill="accent6" w:themeFillTint="33"/>
            <w:vAlign w:val="center"/>
          </w:tcPr>
          <w:p w14:paraId="5130C5FF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Danjiri </w:t>
            </w:r>
          </w:p>
        </w:tc>
        <w:tc>
          <w:tcPr>
            <w:tcW w:w="1134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E2EFD9" w:themeFill="accent6" w:themeFillTint="33"/>
            <w:vAlign w:val="center"/>
          </w:tcPr>
          <w:p w14:paraId="57289C28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Mospilan SG </w:t>
            </w:r>
          </w:p>
        </w:tc>
        <w:tc>
          <w:tcPr>
            <w:tcW w:w="1417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E2EFD9" w:themeFill="accent6" w:themeFillTint="33"/>
            <w:vAlign w:val="center"/>
          </w:tcPr>
          <w:p w14:paraId="4BFB802D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Carnadine 200 </w:t>
            </w:r>
          </w:p>
        </w:tc>
        <w:tc>
          <w:tcPr>
            <w:tcW w:w="1418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E2EFD9" w:themeFill="accent6" w:themeFillTint="33"/>
            <w:vAlign w:val="center"/>
          </w:tcPr>
          <w:p w14:paraId="0A71096E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Leptostar </w:t>
            </w:r>
          </w:p>
        </w:tc>
        <w:tc>
          <w:tcPr>
            <w:tcW w:w="1417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D9D9D9" w:themeFill="background1" w:themeFillShade="D9"/>
            <w:vAlign w:val="center"/>
          </w:tcPr>
          <w:p w14:paraId="2D837497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SIVANTO prime </w:t>
            </w:r>
          </w:p>
        </w:tc>
        <w:tc>
          <w:tcPr>
            <w:tcW w:w="1276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FFF2CC" w:themeFill="accent4" w:themeFillTint="33"/>
            <w:vAlign w:val="center"/>
          </w:tcPr>
          <w:p w14:paraId="271C7E1A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Decis forte </w:t>
            </w:r>
          </w:p>
        </w:tc>
        <w:tc>
          <w:tcPr>
            <w:tcW w:w="1134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FFF2CC" w:themeFill="accent4" w:themeFillTint="33"/>
            <w:vAlign w:val="center"/>
          </w:tcPr>
          <w:p w14:paraId="0B1E7C99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125961">
              <w:rPr>
                <w:rFonts w:ascii="Arial" w:hAnsi="Arial" w:cs="Arial"/>
                <w:sz w:val="16"/>
                <w:szCs w:val="16"/>
              </w:rPr>
              <w:t>Nuyard</w:t>
            </w:r>
            <w:proofErr w:type="spellEnd"/>
            <w:r w:rsidRPr="00125961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76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FFF2CC" w:themeFill="accent4" w:themeFillTint="33"/>
            <w:vAlign w:val="center"/>
          </w:tcPr>
          <w:p w14:paraId="2B9EA232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POLUX </w:t>
            </w:r>
          </w:p>
        </w:tc>
        <w:tc>
          <w:tcPr>
            <w:tcW w:w="1134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DEEAF6" w:themeFill="accent1" w:themeFillTint="33"/>
            <w:vAlign w:val="center"/>
          </w:tcPr>
          <w:p w14:paraId="7FC11CDF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Mavrik Vita </w:t>
            </w:r>
          </w:p>
        </w:tc>
        <w:tc>
          <w:tcPr>
            <w:tcW w:w="1275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  <w:shd w:val="clear" w:color="auto" w:fill="auto"/>
            <w:vAlign w:val="center"/>
          </w:tcPr>
          <w:p w14:paraId="2E7D8682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Karate Zeon </w:t>
            </w:r>
          </w:p>
        </w:tc>
      </w:tr>
      <w:tr w:rsidR="00125961" w:rsidRPr="00125961" w14:paraId="6D0C5D86" w14:textId="77777777" w:rsidTr="00125961">
        <w:tblPrEx>
          <w:tblCellMar>
            <w:top w:w="0" w:type="dxa"/>
            <w:bottom w:w="0" w:type="dxa"/>
          </w:tblCellMar>
        </w:tblPrEx>
        <w:trPr>
          <w:trHeight w:val="472"/>
        </w:trPr>
        <w:tc>
          <w:tcPr>
            <w:tcW w:w="1985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D9D9D9" w:themeFill="background1" w:themeFillShade="D9"/>
            <w:vAlign w:val="center"/>
          </w:tcPr>
          <w:p w14:paraId="64C6A470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Wirkstoff </w:t>
            </w:r>
          </w:p>
        </w:tc>
        <w:tc>
          <w:tcPr>
            <w:tcW w:w="1276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E2EFD9" w:themeFill="accent6" w:themeFillTint="33"/>
            <w:vAlign w:val="center"/>
          </w:tcPr>
          <w:p w14:paraId="339F4A75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Acetamiprid </w:t>
            </w:r>
          </w:p>
        </w:tc>
        <w:tc>
          <w:tcPr>
            <w:tcW w:w="1134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E2EFD9" w:themeFill="accent6" w:themeFillTint="33"/>
            <w:vAlign w:val="center"/>
          </w:tcPr>
          <w:p w14:paraId="00F84851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Acetamiprid </w:t>
            </w:r>
          </w:p>
        </w:tc>
        <w:tc>
          <w:tcPr>
            <w:tcW w:w="1417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E2EFD9" w:themeFill="accent6" w:themeFillTint="33"/>
            <w:vAlign w:val="center"/>
          </w:tcPr>
          <w:p w14:paraId="4FFB0EC9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Acetamiprid </w:t>
            </w:r>
          </w:p>
        </w:tc>
        <w:tc>
          <w:tcPr>
            <w:tcW w:w="1418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E2EFD9" w:themeFill="accent6" w:themeFillTint="33"/>
            <w:vAlign w:val="center"/>
          </w:tcPr>
          <w:p w14:paraId="6D731A2C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Acetamiprid </w:t>
            </w:r>
          </w:p>
        </w:tc>
        <w:tc>
          <w:tcPr>
            <w:tcW w:w="1417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D9D9D9" w:themeFill="background1" w:themeFillShade="D9"/>
            <w:vAlign w:val="center"/>
          </w:tcPr>
          <w:p w14:paraId="73BFF787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Flupyradifurone </w:t>
            </w:r>
          </w:p>
        </w:tc>
        <w:tc>
          <w:tcPr>
            <w:tcW w:w="1276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FFF2CC" w:themeFill="accent4" w:themeFillTint="33"/>
            <w:vAlign w:val="center"/>
          </w:tcPr>
          <w:p w14:paraId="2687E577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Deltamethrin </w:t>
            </w:r>
          </w:p>
        </w:tc>
        <w:tc>
          <w:tcPr>
            <w:tcW w:w="1134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FFF2CC" w:themeFill="accent4" w:themeFillTint="33"/>
            <w:vAlign w:val="center"/>
          </w:tcPr>
          <w:p w14:paraId="467ABD9A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Deltamethrin </w:t>
            </w:r>
          </w:p>
        </w:tc>
        <w:tc>
          <w:tcPr>
            <w:tcW w:w="1276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FFF2CC" w:themeFill="accent4" w:themeFillTint="33"/>
            <w:vAlign w:val="center"/>
          </w:tcPr>
          <w:p w14:paraId="6DC89FB3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Deltamethrin </w:t>
            </w:r>
          </w:p>
        </w:tc>
        <w:tc>
          <w:tcPr>
            <w:tcW w:w="1134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DEEAF6" w:themeFill="accent1" w:themeFillTint="33"/>
            <w:vAlign w:val="center"/>
          </w:tcPr>
          <w:p w14:paraId="44A37F4D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tau-Fluvalinat </w:t>
            </w:r>
          </w:p>
        </w:tc>
        <w:tc>
          <w:tcPr>
            <w:tcW w:w="1275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  <w:shd w:val="clear" w:color="auto" w:fill="auto"/>
            <w:vAlign w:val="center"/>
          </w:tcPr>
          <w:p w14:paraId="4F578EC1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lambda-Cyhalothrin </w:t>
            </w:r>
          </w:p>
        </w:tc>
      </w:tr>
      <w:tr w:rsidR="00125961" w:rsidRPr="00125961" w14:paraId="7C7B6333" w14:textId="77777777" w:rsidTr="00125961">
        <w:tblPrEx>
          <w:tblCellMar>
            <w:top w:w="0" w:type="dxa"/>
            <w:bottom w:w="0" w:type="dxa"/>
          </w:tblCellMar>
        </w:tblPrEx>
        <w:trPr>
          <w:trHeight w:val="310"/>
        </w:trPr>
        <w:tc>
          <w:tcPr>
            <w:tcW w:w="1985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D9D9D9" w:themeFill="background1" w:themeFillShade="D9"/>
            <w:vAlign w:val="center"/>
          </w:tcPr>
          <w:p w14:paraId="0E6CCE9A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Kultur </w:t>
            </w:r>
          </w:p>
        </w:tc>
        <w:tc>
          <w:tcPr>
            <w:tcW w:w="1276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E2EFD9" w:themeFill="accent6" w:themeFillTint="33"/>
            <w:vAlign w:val="center"/>
          </w:tcPr>
          <w:p w14:paraId="7F3E933A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ZR, FR </w:t>
            </w:r>
          </w:p>
        </w:tc>
        <w:tc>
          <w:tcPr>
            <w:tcW w:w="1134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E2EFD9" w:themeFill="accent6" w:themeFillTint="33"/>
            <w:vAlign w:val="center"/>
          </w:tcPr>
          <w:p w14:paraId="1EA31B7F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ZR, FR </w:t>
            </w:r>
          </w:p>
        </w:tc>
        <w:tc>
          <w:tcPr>
            <w:tcW w:w="1417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E2EFD9" w:themeFill="accent6" w:themeFillTint="33"/>
            <w:vAlign w:val="center"/>
          </w:tcPr>
          <w:p w14:paraId="7262A1B0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ZR, FR </w:t>
            </w:r>
          </w:p>
        </w:tc>
        <w:tc>
          <w:tcPr>
            <w:tcW w:w="1418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E2EFD9" w:themeFill="accent6" w:themeFillTint="33"/>
            <w:vAlign w:val="center"/>
          </w:tcPr>
          <w:p w14:paraId="4CE1D2E0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ZR, FR </w:t>
            </w:r>
          </w:p>
        </w:tc>
        <w:tc>
          <w:tcPr>
            <w:tcW w:w="1417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D9D9D9" w:themeFill="background1" w:themeFillShade="D9"/>
            <w:vAlign w:val="center"/>
          </w:tcPr>
          <w:p w14:paraId="0E63B19F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ZR </w:t>
            </w:r>
          </w:p>
        </w:tc>
        <w:tc>
          <w:tcPr>
            <w:tcW w:w="1276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FFF2CC" w:themeFill="accent4" w:themeFillTint="33"/>
            <w:vAlign w:val="center"/>
          </w:tcPr>
          <w:p w14:paraId="21A1D6DD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ZR </w:t>
            </w:r>
          </w:p>
        </w:tc>
        <w:tc>
          <w:tcPr>
            <w:tcW w:w="1134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FFF2CC" w:themeFill="accent4" w:themeFillTint="33"/>
            <w:vAlign w:val="center"/>
          </w:tcPr>
          <w:p w14:paraId="58BC954E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ZR, FR </w:t>
            </w:r>
          </w:p>
        </w:tc>
        <w:tc>
          <w:tcPr>
            <w:tcW w:w="1276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FFF2CC" w:themeFill="accent4" w:themeFillTint="33"/>
            <w:vAlign w:val="center"/>
          </w:tcPr>
          <w:p w14:paraId="55B8B3F1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ZR, FR </w:t>
            </w:r>
          </w:p>
        </w:tc>
        <w:tc>
          <w:tcPr>
            <w:tcW w:w="1134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DEEAF6" w:themeFill="accent1" w:themeFillTint="33"/>
            <w:vAlign w:val="center"/>
          </w:tcPr>
          <w:p w14:paraId="29DBFFE4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ZR, FR </w:t>
            </w:r>
          </w:p>
        </w:tc>
        <w:tc>
          <w:tcPr>
            <w:tcW w:w="1275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  <w:shd w:val="clear" w:color="auto" w:fill="auto"/>
            <w:vAlign w:val="center"/>
          </w:tcPr>
          <w:p w14:paraId="77F49169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ZR </w:t>
            </w:r>
          </w:p>
        </w:tc>
      </w:tr>
      <w:tr w:rsidR="00125961" w:rsidRPr="00125961" w14:paraId="7101181F" w14:textId="77777777" w:rsidTr="00125961">
        <w:tblPrEx>
          <w:tblCellMar>
            <w:top w:w="0" w:type="dxa"/>
            <w:bottom w:w="0" w:type="dxa"/>
          </w:tblCellMar>
        </w:tblPrEx>
        <w:trPr>
          <w:trHeight w:val="444"/>
        </w:trPr>
        <w:tc>
          <w:tcPr>
            <w:tcW w:w="1985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D9D9D9" w:themeFill="background1" w:themeFillShade="D9"/>
            <w:vAlign w:val="center"/>
          </w:tcPr>
          <w:p w14:paraId="249997AF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Zeitraum (Datum) </w:t>
            </w:r>
          </w:p>
        </w:tc>
        <w:tc>
          <w:tcPr>
            <w:tcW w:w="1276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E2EFD9" w:themeFill="accent6" w:themeFillTint="33"/>
            <w:vAlign w:val="center"/>
          </w:tcPr>
          <w:p w14:paraId="335CEDAA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1.4. – 29.7. </w:t>
            </w:r>
          </w:p>
        </w:tc>
        <w:tc>
          <w:tcPr>
            <w:tcW w:w="1134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E2EFD9" w:themeFill="accent6" w:themeFillTint="33"/>
            <w:vAlign w:val="center"/>
          </w:tcPr>
          <w:p w14:paraId="0F166B7A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31.3. – 28.7. </w:t>
            </w:r>
          </w:p>
        </w:tc>
        <w:tc>
          <w:tcPr>
            <w:tcW w:w="1417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E2EFD9" w:themeFill="accent6" w:themeFillTint="33"/>
            <w:vAlign w:val="center"/>
          </w:tcPr>
          <w:p w14:paraId="6A25DD31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15.4. –12.8. </w:t>
            </w:r>
          </w:p>
        </w:tc>
        <w:tc>
          <w:tcPr>
            <w:tcW w:w="1418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E2EFD9" w:themeFill="accent6" w:themeFillTint="33"/>
            <w:vAlign w:val="center"/>
          </w:tcPr>
          <w:p w14:paraId="49A391A4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31.3. – 28.7. </w:t>
            </w:r>
          </w:p>
        </w:tc>
        <w:tc>
          <w:tcPr>
            <w:tcW w:w="1417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D9D9D9" w:themeFill="background1" w:themeFillShade="D9"/>
            <w:vAlign w:val="center"/>
          </w:tcPr>
          <w:p w14:paraId="23172F8D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15.4. –12.8. </w:t>
            </w:r>
          </w:p>
        </w:tc>
        <w:tc>
          <w:tcPr>
            <w:tcW w:w="1276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FFF2CC" w:themeFill="accent4" w:themeFillTint="33"/>
            <w:vAlign w:val="center"/>
          </w:tcPr>
          <w:p w14:paraId="4B87E813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1.4. – 29.7. </w:t>
            </w:r>
          </w:p>
        </w:tc>
        <w:tc>
          <w:tcPr>
            <w:tcW w:w="1134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FFF2CC" w:themeFill="accent4" w:themeFillTint="33"/>
            <w:vAlign w:val="center"/>
          </w:tcPr>
          <w:p w14:paraId="37DEEF0E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1.4. – 29.7. </w:t>
            </w:r>
          </w:p>
        </w:tc>
        <w:tc>
          <w:tcPr>
            <w:tcW w:w="1276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FFF2CC" w:themeFill="accent4" w:themeFillTint="33"/>
            <w:vAlign w:val="center"/>
          </w:tcPr>
          <w:p w14:paraId="7E85B0DE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1.4. – 29.7. </w:t>
            </w:r>
          </w:p>
        </w:tc>
        <w:tc>
          <w:tcPr>
            <w:tcW w:w="1134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DEEAF6" w:themeFill="accent1" w:themeFillTint="33"/>
            <w:vAlign w:val="center"/>
          </w:tcPr>
          <w:p w14:paraId="69DF2B1C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15.4. –12.8. </w:t>
            </w:r>
          </w:p>
        </w:tc>
        <w:tc>
          <w:tcPr>
            <w:tcW w:w="1275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  <w:shd w:val="clear" w:color="auto" w:fill="auto"/>
            <w:vAlign w:val="center"/>
          </w:tcPr>
          <w:p w14:paraId="3185B1C1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15.4. –12.8. </w:t>
            </w:r>
          </w:p>
        </w:tc>
      </w:tr>
      <w:tr w:rsidR="00125961" w:rsidRPr="00125961" w14:paraId="721D54BD" w14:textId="77777777" w:rsidTr="00125961">
        <w:tblPrEx>
          <w:tblCellMar>
            <w:top w:w="0" w:type="dxa"/>
            <w:bottom w:w="0" w:type="dxa"/>
          </w:tblCellMar>
        </w:tblPrEx>
        <w:trPr>
          <w:trHeight w:val="310"/>
        </w:trPr>
        <w:tc>
          <w:tcPr>
            <w:tcW w:w="1985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D9D9D9" w:themeFill="background1" w:themeFillShade="D9"/>
            <w:vAlign w:val="center"/>
          </w:tcPr>
          <w:p w14:paraId="52074363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Zeitraum (BBCH) </w:t>
            </w:r>
          </w:p>
        </w:tc>
        <w:tc>
          <w:tcPr>
            <w:tcW w:w="1276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E2EFD9" w:themeFill="accent6" w:themeFillTint="33"/>
            <w:vAlign w:val="center"/>
          </w:tcPr>
          <w:p w14:paraId="7BB11CFB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19 – 49 </w:t>
            </w:r>
          </w:p>
        </w:tc>
        <w:tc>
          <w:tcPr>
            <w:tcW w:w="1134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E2EFD9" w:themeFill="accent6" w:themeFillTint="33"/>
            <w:vAlign w:val="center"/>
          </w:tcPr>
          <w:p w14:paraId="54B1B83A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19 – 49 </w:t>
            </w:r>
          </w:p>
        </w:tc>
        <w:tc>
          <w:tcPr>
            <w:tcW w:w="1417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E2EFD9" w:themeFill="accent6" w:themeFillTint="33"/>
            <w:vAlign w:val="center"/>
          </w:tcPr>
          <w:p w14:paraId="40F56A67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19 – 39 </w:t>
            </w:r>
          </w:p>
        </w:tc>
        <w:tc>
          <w:tcPr>
            <w:tcW w:w="1418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E2EFD9" w:themeFill="accent6" w:themeFillTint="33"/>
            <w:vAlign w:val="center"/>
          </w:tcPr>
          <w:p w14:paraId="21FFC963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12 – 39 </w:t>
            </w:r>
          </w:p>
        </w:tc>
        <w:tc>
          <w:tcPr>
            <w:tcW w:w="1417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D9D9D9" w:themeFill="background1" w:themeFillShade="D9"/>
            <w:vAlign w:val="center"/>
          </w:tcPr>
          <w:p w14:paraId="6CDD97E1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12 – 49 </w:t>
            </w:r>
          </w:p>
        </w:tc>
        <w:tc>
          <w:tcPr>
            <w:tcW w:w="1276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FFF2CC" w:themeFill="accent4" w:themeFillTint="33"/>
            <w:vAlign w:val="center"/>
          </w:tcPr>
          <w:p w14:paraId="0C18866E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12 – 39 </w:t>
            </w:r>
          </w:p>
        </w:tc>
        <w:tc>
          <w:tcPr>
            <w:tcW w:w="1134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FFF2CC" w:themeFill="accent4" w:themeFillTint="33"/>
            <w:vAlign w:val="center"/>
          </w:tcPr>
          <w:p w14:paraId="23E9EED2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12 – 39 </w:t>
            </w:r>
          </w:p>
        </w:tc>
        <w:tc>
          <w:tcPr>
            <w:tcW w:w="1276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FFF2CC" w:themeFill="accent4" w:themeFillTint="33"/>
            <w:vAlign w:val="center"/>
          </w:tcPr>
          <w:p w14:paraId="607BC55B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12 – 39 </w:t>
            </w:r>
          </w:p>
        </w:tc>
        <w:tc>
          <w:tcPr>
            <w:tcW w:w="1134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DEEAF6" w:themeFill="accent1" w:themeFillTint="33"/>
            <w:vAlign w:val="center"/>
          </w:tcPr>
          <w:p w14:paraId="074F1073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12-39 </w:t>
            </w:r>
          </w:p>
        </w:tc>
        <w:tc>
          <w:tcPr>
            <w:tcW w:w="1275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  <w:shd w:val="clear" w:color="auto" w:fill="auto"/>
            <w:vAlign w:val="center"/>
          </w:tcPr>
          <w:p w14:paraId="7F36BDD3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ab 19 </w:t>
            </w:r>
          </w:p>
        </w:tc>
      </w:tr>
      <w:tr w:rsidR="00125961" w:rsidRPr="00125961" w14:paraId="2FCAFC52" w14:textId="77777777" w:rsidTr="00125961">
        <w:tblPrEx>
          <w:tblCellMar>
            <w:top w:w="0" w:type="dxa"/>
            <w:bottom w:w="0" w:type="dxa"/>
          </w:tblCellMar>
        </w:tblPrEx>
        <w:trPr>
          <w:trHeight w:val="444"/>
        </w:trPr>
        <w:tc>
          <w:tcPr>
            <w:tcW w:w="1985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D9D9D9" w:themeFill="background1" w:themeFillShade="D9"/>
            <w:vAlign w:val="center"/>
          </w:tcPr>
          <w:p w14:paraId="6A48D80F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Wartezeit in Tagen </w:t>
            </w:r>
          </w:p>
        </w:tc>
        <w:tc>
          <w:tcPr>
            <w:tcW w:w="1276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E2EFD9" w:themeFill="accent6" w:themeFillTint="33"/>
            <w:vAlign w:val="center"/>
          </w:tcPr>
          <w:p w14:paraId="0795ABF7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35 </w:t>
            </w:r>
          </w:p>
        </w:tc>
        <w:tc>
          <w:tcPr>
            <w:tcW w:w="1134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E2EFD9" w:themeFill="accent6" w:themeFillTint="33"/>
            <w:vAlign w:val="center"/>
          </w:tcPr>
          <w:p w14:paraId="13F2E785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28 </w:t>
            </w:r>
          </w:p>
        </w:tc>
        <w:tc>
          <w:tcPr>
            <w:tcW w:w="1417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E2EFD9" w:themeFill="accent6" w:themeFillTint="33"/>
            <w:vAlign w:val="center"/>
          </w:tcPr>
          <w:p w14:paraId="68A8830D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35 </w:t>
            </w:r>
          </w:p>
        </w:tc>
        <w:tc>
          <w:tcPr>
            <w:tcW w:w="1418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E2EFD9" w:themeFill="accent6" w:themeFillTint="33"/>
            <w:vAlign w:val="center"/>
          </w:tcPr>
          <w:p w14:paraId="23B86A3B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42 </w:t>
            </w:r>
          </w:p>
        </w:tc>
        <w:tc>
          <w:tcPr>
            <w:tcW w:w="1417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D9D9D9" w:themeFill="background1" w:themeFillShade="D9"/>
            <w:vAlign w:val="center"/>
          </w:tcPr>
          <w:p w14:paraId="74D03179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90 </w:t>
            </w:r>
          </w:p>
        </w:tc>
        <w:tc>
          <w:tcPr>
            <w:tcW w:w="1276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FFF2CC" w:themeFill="accent4" w:themeFillTint="33"/>
            <w:vAlign w:val="center"/>
          </w:tcPr>
          <w:p w14:paraId="7206D934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90 </w:t>
            </w:r>
          </w:p>
        </w:tc>
        <w:tc>
          <w:tcPr>
            <w:tcW w:w="1134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FFF2CC" w:themeFill="accent4" w:themeFillTint="33"/>
            <w:vAlign w:val="center"/>
          </w:tcPr>
          <w:p w14:paraId="0BC78F9D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90 </w:t>
            </w:r>
          </w:p>
        </w:tc>
        <w:tc>
          <w:tcPr>
            <w:tcW w:w="1276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FFF2CC" w:themeFill="accent4" w:themeFillTint="33"/>
            <w:vAlign w:val="center"/>
          </w:tcPr>
          <w:p w14:paraId="01DD26EC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42 </w:t>
            </w:r>
          </w:p>
        </w:tc>
        <w:tc>
          <w:tcPr>
            <w:tcW w:w="1134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DEEAF6" w:themeFill="accent1" w:themeFillTint="33"/>
            <w:vAlign w:val="center"/>
          </w:tcPr>
          <w:p w14:paraId="1C2AD7A5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14 </w:t>
            </w:r>
          </w:p>
        </w:tc>
        <w:tc>
          <w:tcPr>
            <w:tcW w:w="1275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  <w:shd w:val="clear" w:color="auto" w:fill="auto"/>
            <w:vAlign w:val="center"/>
          </w:tcPr>
          <w:p w14:paraId="329F995B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28 </w:t>
            </w:r>
          </w:p>
        </w:tc>
      </w:tr>
      <w:tr w:rsidR="00125961" w:rsidRPr="00125961" w14:paraId="6D463A0E" w14:textId="77777777" w:rsidTr="00125961">
        <w:tblPrEx>
          <w:tblCellMar>
            <w:top w:w="0" w:type="dxa"/>
            <w:bottom w:w="0" w:type="dxa"/>
          </w:tblCellMar>
        </w:tblPrEx>
        <w:trPr>
          <w:trHeight w:val="734"/>
        </w:trPr>
        <w:tc>
          <w:tcPr>
            <w:tcW w:w="1985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D9D9D9" w:themeFill="background1" w:themeFillShade="D9"/>
            <w:vAlign w:val="center"/>
          </w:tcPr>
          <w:p w14:paraId="193E9B7A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Maximale Zahl der Behandlungen in dieser Anwendung </w:t>
            </w:r>
          </w:p>
        </w:tc>
        <w:tc>
          <w:tcPr>
            <w:tcW w:w="1276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E2EFD9" w:themeFill="accent6" w:themeFillTint="33"/>
            <w:vAlign w:val="center"/>
          </w:tcPr>
          <w:p w14:paraId="11DF47F4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1 </w:t>
            </w:r>
          </w:p>
        </w:tc>
        <w:tc>
          <w:tcPr>
            <w:tcW w:w="1134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E2EFD9" w:themeFill="accent6" w:themeFillTint="33"/>
            <w:vAlign w:val="center"/>
          </w:tcPr>
          <w:p w14:paraId="3DD80AB2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1 </w:t>
            </w:r>
          </w:p>
        </w:tc>
        <w:tc>
          <w:tcPr>
            <w:tcW w:w="1417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E2EFD9" w:themeFill="accent6" w:themeFillTint="33"/>
            <w:vAlign w:val="center"/>
          </w:tcPr>
          <w:p w14:paraId="241F2B34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1 </w:t>
            </w:r>
          </w:p>
        </w:tc>
        <w:tc>
          <w:tcPr>
            <w:tcW w:w="1418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E2EFD9" w:themeFill="accent6" w:themeFillTint="33"/>
            <w:vAlign w:val="center"/>
          </w:tcPr>
          <w:p w14:paraId="5AC929E1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1 </w:t>
            </w:r>
          </w:p>
        </w:tc>
        <w:tc>
          <w:tcPr>
            <w:tcW w:w="1417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D9D9D9" w:themeFill="background1" w:themeFillShade="D9"/>
            <w:vAlign w:val="center"/>
          </w:tcPr>
          <w:p w14:paraId="72587B38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1 </w:t>
            </w:r>
          </w:p>
        </w:tc>
        <w:tc>
          <w:tcPr>
            <w:tcW w:w="1276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FFF2CC" w:themeFill="accent4" w:themeFillTint="33"/>
            <w:vAlign w:val="center"/>
          </w:tcPr>
          <w:p w14:paraId="477C156B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2 </w:t>
            </w:r>
          </w:p>
        </w:tc>
        <w:tc>
          <w:tcPr>
            <w:tcW w:w="1134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FFF2CC" w:themeFill="accent4" w:themeFillTint="33"/>
            <w:vAlign w:val="center"/>
          </w:tcPr>
          <w:p w14:paraId="7E4E904B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1 </w:t>
            </w:r>
          </w:p>
        </w:tc>
        <w:tc>
          <w:tcPr>
            <w:tcW w:w="1276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FFF2CC" w:themeFill="accent4" w:themeFillTint="33"/>
            <w:vAlign w:val="center"/>
          </w:tcPr>
          <w:p w14:paraId="27029910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2 </w:t>
            </w:r>
          </w:p>
        </w:tc>
        <w:tc>
          <w:tcPr>
            <w:tcW w:w="1134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DEEAF6" w:themeFill="accent1" w:themeFillTint="33"/>
            <w:vAlign w:val="center"/>
          </w:tcPr>
          <w:p w14:paraId="29B6D28E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1 </w:t>
            </w:r>
          </w:p>
        </w:tc>
        <w:tc>
          <w:tcPr>
            <w:tcW w:w="1275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  <w:shd w:val="clear" w:color="auto" w:fill="auto"/>
            <w:vAlign w:val="center"/>
          </w:tcPr>
          <w:p w14:paraId="65B85FF5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2 </w:t>
            </w:r>
          </w:p>
        </w:tc>
      </w:tr>
      <w:tr w:rsidR="00125961" w:rsidRPr="00125961" w14:paraId="0816CEBC" w14:textId="77777777" w:rsidTr="00125961">
        <w:tblPrEx>
          <w:tblCellMar>
            <w:top w:w="0" w:type="dxa"/>
            <w:bottom w:w="0" w:type="dxa"/>
          </w:tblCellMar>
        </w:tblPrEx>
        <w:trPr>
          <w:trHeight w:val="591"/>
        </w:trPr>
        <w:tc>
          <w:tcPr>
            <w:tcW w:w="1985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D9D9D9" w:themeFill="background1" w:themeFillShade="D9"/>
            <w:vAlign w:val="center"/>
          </w:tcPr>
          <w:p w14:paraId="3A2E152F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Maximale Zahl der Behandlungen je Jahr </w:t>
            </w:r>
          </w:p>
        </w:tc>
        <w:tc>
          <w:tcPr>
            <w:tcW w:w="1276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E2EFD9" w:themeFill="accent6" w:themeFillTint="33"/>
            <w:vAlign w:val="center"/>
          </w:tcPr>
          <w:p w14:paraId="14EF8DB5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1 </w:t>
            </w:r>
          </w:p>
        </w:tc>
        <w:tc>
          <w:tcPr>
            <w:tcW w:w="1134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E2EFD9" w:themeFill="accent6" w:themeFillTint="33"/>
            <w:vAlign w:val="center"/>
          </w:tcPr>
          <w:p w14:paraId="451C263B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1 </w:t>
            </w:r>
          </w:p>
        </w:tc>
        <w:tc>
          <w:tcPr>
            <w:tcW w:w="1417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E2EFD9" w:themeFill="accent6" w:themeFillTint="33"/>
            <w:vAlign w:val="center"/>
          </w:tcPr>
          <w:p w14:paraId="63F3783A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1 </w:t>
            </w:r>
          </w:p>
        </w:tc>
        <w:tc>
          <w:tcPr>
            <w:tcW w:w="1418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E2EFD9" w:themeFill="accent6" w:themeFillTint="33"/>
            <w:vAlign w:val="center"/>
          </w:tcPr>
          <w:p w14:paraId="0E583E43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1 </w:t>
            </w:r>
          </w:p>
        </w:tc>
        <w:tc>
          <w:tcPr>
            <w:tcW w:w="1417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D9D9D9" w:themeFill="background1" w:themeFillShade="D9"/>
            <w:vAlign w:val="center"/>
          </w:tcPr>
          <w:p w14:paraId="6A59471C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1 </w:t>
            </w:r>
          </w:p>
        </w:tc>
        <w:tc>
          <w:tcPr>
            <w:tcW w:w="1276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FFF2CC" w:themeFill="accent4" w:themeFillTint="33"/>
            <w:vAlign w:val="center"/>
          </w:tcPr>
          <w:p w14:paraId="7E09F4E7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2 </w:t>
            </w:r>
          </w:p>
        </w:tc>
        <w:tc>
          <w:tcPr>
            <w:tcW w:w="1134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FFF2CC" w:themeFill="accent4" w:themeFillTint="33"/>
            <w:vAlign w:val="center"/>
          </w:tcPr>
          <w:p w14:paraId="5F054C29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2 </w:t>
            </w:r>
          </w:p>
        </w:tc>
        <w:tc>
          <w:tcPr>
            <w:tcW w:w="1276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FFF2CC" w:themeFill="accent4" w:themeFillTint="33"/>
            <w:vAlign w:val="center"/>
          </w:tcPr>
          <w:p w14:paraId="69479FAD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2 </w:t>
            </w:r>
          </w:p>
        </w:tc>
        <w:tc>
          <w:tcPr>
            <w:tcW w:w="1134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DEEAF6" w:themeFill="accent1" w:themeFillTint="33"/>
            <w:vAlign w:val="center"/>
          </w:tcPr>
          <w:p w14:paraId="7BC5A76E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2 </w:t>
            </w:r>
          </w:p>
        </w:tc>
        <w:tc>
          <w:tcPr>
            <w:tcW w:w="1275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  <w:shd w:val="clear" w:color="auto" w:fill="auto"/>
            <w:vAlign w:val="center"/>
          </w:tcPr>
          <w:p w14:paraId="68B52344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2 </w:t>
            </w:r>
          </w:p>
        </w:tc>
      </w:tr>
      <w:tr w:rsidR="00125961" w:rsidRPr="00125961" w14:paraId="05DC02F1" w14:textId="77777777" w:rsidTr="00125961">
        <w:tblPrEx>
          <w:tblCellMar>
            <w:top w:w="0" w:type="dxa"/>
            <w:bottom w:w="0" w:type="dxa"/>
          </w:tblCellMar>
        </w:tblPrEx>
        <w:trPr>
          <w:trHeight w:val="587"/>
        </w:trPr>
        <w:tc>
          <w:tcPr>
            <w:tcW w:w="1985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D9D9D9" w:themeFill="background1" w:themeFillShade="D9"/>
            <w:vAlign w:val="center"/>
          </w:tcPr>
          <w:p w14:paraId="6E05AC67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Abstand zwischen Behandlungen </w:t>
            </w:r>
          </w:p>
        </w:tc>
        <w:tc>
          <w:tcPr>
            <w:tcW w:w="1276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E2EFD9" w:themeFill="accent6" w:themeFillTint="33"/>
            <w:vAlign w:val="center"/>
          </w:tcPr>
          <w:p w14:paraId="6AB3EEC4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- </w:t>
            </w:r>
          </w:p>
        </w:tc>
        <w:tc>
          <w:tcPr>
            <w:tcW w:w="1134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E2EFD9" w:themeFill="accent6" w:themeFillTint="33"/>
            <w:vAlign w:val="center"/>
          </w:tcPr>
          <w:p w14:paraId="13DBBF14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- </w:t>
            </w:r>
          </w:p>
        </w:tc>
        <w:tc>
          <w:tcPr>
            <w:tcW w:w="1417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E2EFD9" w:themeFill="accent6" w:themeFillTint="33"/>
            <w:vAlign w:val="center"/>
          </w:tcPr>
          <w:p w14:paraId="703E2EFD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- </w:t>
            </w:r>
          </w:p>
        </w:tc>
        <w:tc>
          <w:tcPr>
            <w:tcW w:w="1418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E2EFD9" w:themeFill="accent6" w:themeFillTint="33"/>
            <w:vAlign w:val="center"/>
          </w:tcPr>
          <w:p w14:paraId="1C9DA01D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- </w:t>
            </w:r>
          </w:p>
        </w:tc>
        <w:tc>
          <w:tcPr>
            <w:tcW w:w="1417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D9D9D9" w:themeFill="background1" w:themeFillShade="D9"/>
            <w:vAlign w:val="center"/>
          </w:tcPr>
          <w:p w14:paraId="66144A48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- </w:t>
            </w:r>
          </w:p>
        </w:tc>
        <w:tc>
          <w:tcPr>
            <w:tcW w:w="1276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FFF2CC" w:themeFill="accent4" w:themeFillTint="33"/>
            <w:vAlign w:val="center"/>
          </w:tcPr>
          <w:p w14:paraId="33728C84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mind. 14 Tage </w:t>
            </w:r>
          </w:p>
        </w:tc>
        <w:tc>
          <w:tcPr>
            <w:tcW w:w="1134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FFF2CC" w:themeFill="accent4" w:themeFillTint="33"/>
            <w:vAlign w:val="center"/>
          </w:tcPr>
          <w:p w14:paraId="4C856E0F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mind. 14 Tage </w:t>
            </w:r>
          </w:p>
        </w:tc>
        <w:tc>
          <w:tcPr>
            <w:tcW w:w="1276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FFF2CC" w:themeFill="accent4" w:themeFillTint="33"/>
            <w:vAlign w:val="center"/>
          </w:tcPr>
          <w:p w14:paraId="35DC0194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mind. 14 Tage </w:t>
            </w:r>
          </w:p>
        </w:tc>
        <w:tc>
          <w:tcPr>
            <w:tcW w:w="1134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DEEAF6" w:themeFill="accent1" w:themeFillTint="33"/>
            <w:vAlign w:val="center"/>
          </w:tcPr>
          <w:p w14:paraId="54355338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mind. 14 Tage </w:t>
            </w:r>
          </w:p>
        </w:tc>
        <w:tc>
          <w:tcPr>
            <w:tcW w:w="1275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  <w:shd w:val="clear" w:color="auto" w:fill="auto"/>
            <w:vAlign w:val="center"/>
          </w:tcPr>
          <w:p w14:paraId="1CC67DFD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mind. 14 Tage </w:t>
            </w:r>
          </w:p>
        </w:tc>
      </w:tr>
      <w:tr w:rsidR="00125961" w:rsidRPr="00125961" w14:paraId="5F81737A" w14:textId="77777777" w:rsidTr="00125961">
        <w:tblPrEx>
          <w:tblCellMar>
            <w:top w:w="0" w:type="dxa"/>
            <w:bottom w:w="0" w:type="dxa"/>
          </w:tblCellMar>
        </w:tblPrEx>
        <w:trPr>
          <w:trHeight w:val="880"/>
        </w:trPr>
        <w:tc>
          <w:tcPr>
            <w:tcW w:w="1985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D9D9D9" w:themeFill="background1" w:themeFillShade="D9"/>
            <w:vAlign w:val="center"/>
          </w:tcPr>
          <w:p w14:paraId="64699B95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Aufwand (je Anwendung) </w:t>
            </w:r>
          </w:p>
        </w:tc>
        <w:tc>
          <w:tcPr>
            <w:tcW w:w="1276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E2EFD9" w:themeFill="accent6" w:themeFillTint="33"/>
            <w:vAlign w:val="center"/>
          </w:tcPr>
          <w:p w14:paraId="4282A0A2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0,25 kg/ha in 200 – 400 l Wasser/ha </w:t>
            </w:r>
          </w:p>
        </w:tc>
        <w:tc>
          <w:tcPr>
            <w:tcW w:w="1134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E2EFD9" w:themeFill="accent6" w:themeFillTint="33"/>
            <w:vAlign w:val="center"/>
          </w:tcPr>
          <w:p w14:paraId="28594A35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0,25 kg/ha in 200 – 400 l Wasser/ha </w:t>
            </w:r>
          </w:p>
        </w:tc>
        <w:tc>
          <w:tcPr>
            <w:tcW w:w="1417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E2EFD9" w:themeFill="accent6" w:themeFillTint="33"/>
            <w:vAlign w:val="center"/>
          </w:tcPr>
          <w:p w14:paraId="0480A78D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0,25 Liter/ha in 200 – 400 l Wasser/ha </w:t>
            </w:r>
          </w:p>
        </w:tc>
        <w:tc>
          <w:tcPr>
            <w:tcW w:w="1418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E2EFD9" w:themeFill="accent6" w:themeFillTint="33"/>
            <w:vAlign w:val="center"/>
          </w:tcPr>
          <w:p w14:paraId="56A88CF6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0,25 Liter/ha in 200 – 400 l Wasser/ha </w:t>
            </w:r>
          </w:p>
        </w:tc>
        <w:tc>
          <w:tcPr>
            <w:tcW w:w="1417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D9D9D9" w:themeFill="background1" w:themeFillShade="D9"/>
            <w:vAlign w:val="center"/>
          </w:tcPr>
          <w:p w14:paraId="1B3490D0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0,25 Liter/ha in 200 – 300 l Wasser/ha </w:t>
            </w:r>
          </w:p>
        </w:tc>
        <w:tc>
          <w:tcPr>
            <w:tcW w:w="1276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FFF2CC" w:themeFill="accent4" w:themeFillTint="33"/>
            <w:vAlign w:val="center"/>
          </w:tcPr>
          <w:p w14:paraId="4AA42E10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0,075 l/ha in 200 – 400 l Wasser/ha </w:t>
            </w:r>
          </w:p>
        </w:tc>
        <w:tc>
          <w:tcPr>
            <w:tcW w:w="1134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FFF2CC" w:themeFill="accent4" w:themeFillTint="33"/>
            <w:vAlign w:val="center"/>
          </w:tcPr>
          <w:p w14:paraId="178805FD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0,075 l/ha in 200 – 400 l Wasser/ha </w:t>
            </w:r>
          </w:p>
        </w:tc>
        <w:tc>
          <w:tcPr>
            <w:tcW w:w="1276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FFF2CC" w:themeFill="accent4" w:themeFillTint="33"/>
            <w:vAlign w:val="center"/>
          </w:tcPr>
          <w:p w14:paraId="585A7D25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0,3 Liter/ha in 200 – 400 l Wasser/ha </w:t>
            </w:r>
          </w:p>
        </w:tc>
        <w:tc>
          <w:tcPr>
            <w:tcW w:w="1134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DEEAF6" w:themeFill="accent1" w:themeFillTint="33"/>
            <w:vAlign w:val="center"/>
          </w:tcPr>
          <w:p w14:paraId="227FE429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0,2 Liter/ha in 200 – 600 l Wasser/ha </w:t>
            </w:r>
          </w:p>
        </w:tc>
        <w:tc>
          <w:tcPr>
            <w:tcW w:w="1275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  <w:shd w:val="clear" w:color="auto" w:fill="auto"/>
            <w:vAlign w:val="center"/>
          </w:tcPr>
          <w:p w14:paraId="1F60CC11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0,075 l/ha in 200 – 600 l Wasser/ha </w:t>
            </w:r>
          </w:p>
        </w:tc>
      </w:tr>
      <w:tr w:rsidR="00125961" w14:paraId="7EC6C99C" w14:textId="77777777" w:rsidTr="00125961">
        <w:tblPrEx>
          <w:tblCellMar>
            <w:top w:w="0" w:type="dxa"/>
            <w:bottom w:w="0" w:type="dxa"/>
          </w:tblCellMar>
        </w:tblPrEx>
        <w:trPr>
          <w:trHeight w:val="880"/>
        </w:trPr>
        <w:tc>
          <w:tcPr>
            <w:tcW w:w="1985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D9D9D9" w:themeFill="background1" w:themeFillShade="D9"/>
            <w:vAlign w:val="center"/>
          </w:tcPr>
          <w:p w14:paraId="6E00E67A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Gewässerabstand bei 90% Abdriftminderung+ </w:t>
            </w:r>
          </w:p>
        </w:tc>
        <w:tc>
          <w:tcPr>
            <w:tcW w:w="1276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E2EFD9" w:themeFill="accent6" w:themeFillTint="33"/>
            <w:vAlign w:val="center"/>
          </w:tcPr>
          <w:p w14:paraId="3396CD3C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5 </w:t>
            </w:r>
          </w:p>
        </w:tc>
        <w:tc>
          <w:tcPr>
            <w:tcW w:w="1134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E2EFD9" w:themeFill="accent6" w:themeFillTint="33"/>
            <w:vAlign w:val="center"/>
          </w:tcPr>
          <w:p w14:paraId="3B4C3477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5 </w:t>
            </w:r>
          </w:p>
        </w:tc>
        <w:tc>
          <w:tcPr>
            <w:tcW w:w="1417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E2EFD9" w:themeFill="accent6" w:themeFillTint="33"/>
            <w:vAlign w:val="center"/>
          </w:tcPr>
          <w:p w14:paraId="75857F83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5 </w:t>
            </w:r>
          </w:p>
        </w:tc>
        <w:tc>
          <w:tcPr>
            <w:tcW w:w="1418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E2EFD9" w:themeFill="accent6" w:themeFillTint="33"/>
            <w:vAlign w:val="center"/>
          </w:tcPr>
          <w:p w14:paraId="1D79ACF8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5 </w:t>
            </w:r>
          </w:p>
        </w:tc>
        <w:tc>
          <w:tcPr>
            <w:tcW w:w="1417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D9D9D9" w:themeFill="background1" w:themeFillShade="D9"/>
            <w:vAlign w:val="center"/>
          </w:tcPr>
          <w:p w14:paraId="5FED5A9E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5 </w:t>
            </w:r>
          </w:p>
        </w:tc>
        <w:tc>
          <w:tcPr>
            <w:tcW w:w="1276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FFF2CC" w:themeFill="accent4" w:themeFillTint="33"/>
            <w:vAlign w:val="center"/>
          </w:tcPr>
          <w:p w14:paraId="2FBA45E7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50 </w:t>
            </w:r>
          </w:p>
        </w:tc>
        <w:tc>
          <w:tcPr>
            <w:tcW w:w="1134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FFF2CC" w:themeFill="accent4" w:themeFillTint="33"/>
            <w:vAlign w:val="center"/>
          </w:tcPr>
          <w:p w14:paraId="181874FB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50 </w:t>
            </w:r>
          </w:p>
        </w:tc>
        <w:tc>
          <w:tcPr>
            <w:tcW w:w="1276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FFF2CC" w:themeFill="accent4" w:themeFillTint="33"/>
            <w:vAlign w:val="center"/>
          </w:tcPr>
          <w:p w14:paraId="7D4C6E49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50 </w:t>
            </w:r>
          </w:p>
        </w:tc>
        <w:tc>
          <w:tcPr>
            <w:tcW w:w="1134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DEEAF6" w:themeFill="accent1" w:themeFillTint="33"/>
            <w:vAlign w:val="center"/>
          </w:tcPr>
          <w:p w14:paraId="782FF40E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5 </w:t>
            </w:r>
          </w:p>
        </w:tc>
        <w:tc>
          <w:tcPr>
            <w:tcW w:w="1275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auto"/>
            <w:vAlign w:val="center"/>
          </w:tcPr>
          <w:p w14:paraId="62B2C1EF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20 </w:t>
            </w:r>
          </w:p>
        </w:tc>
      </w:tr>
      <w:tr w:rsidR="00125961" w14:paraId="6F144782" w14:textId="77777777" w:rsidTr="00125961">
        <w:tblPrEx>
          <w:tblCellMar>
            <w:top w:w="0" w:type="dxa"/>
            <w:bottom w:w="0" w:type="dxa"/>
          </w:tblCellMar>
        </w:tblPrEx>
        <w:trPr>
          <w:trHeight w:val="880"/>
        </w:trPr>
        <w:tc>
          <w:tcPr>
            <w:tcW w:w="1985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D9D9D9" w:themeFill="background1" w:themeFillShade="D9"/>
            <w:vAlign w:val="center"/>
          </w:tcPr>
          <w:p w14:paraId="2B315312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auf drainierten Flächen möglich? </w:t>
            </w:r>
          </w:p>
        </w:tc>
        <w:tc>
          <w:tcPr>
            <w:tcW w:w="1276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E2EFD9" w:themeFill="accent6" w:themeFillTint="33"/>
            <w:vAlign w:val="center"/>
          </w:tcPr>
          <w:p w14:paraId="1E4C9483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ja </w:t>
            </w:r>
          </w:p>
        </w:tc>
        <w:tc>
          <w:tcPr>
            <w:tcW w:w="1134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E2EFD9" w:themeFill="accent6" w:themeFillTint="33"/>
            <w:vAlign w:val="center"/>
          </w:tcPr>
          <w:p w14:paraId="7AEA1730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ja </w:t>
            </w:r>
          </w:p>
        </w:tc>
        <w:tc>
          <w:tcPr>
            <w:tcW w:w="1417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E2EFD9" w:themeFill="accent6" w:themeFillTint="33"/>
            <w:vAlign w:val="center"/>
          </w:tcPr>
          <w:p w14:paraId="01889616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nein </w:t>
            </w:r>
          </w:p>
        </w:tc>
        <w:tc>
          <w:tcPr>
            <w:tcW w:w="1418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E2EFD9" w:themeFill="accent6" w:themeFillTint="33"/>
            <w:vAlign w:val="center"/>
          </w:tcPr>
          <w:p w14:paraId="6FF27107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nein </w:t>
            </w:r>
          </w:p>
        </w:tc>
        <w:tc>
          <w:tcPr>
            <w:tcW w:w="1417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D9D9D9" w:themeFill="background1" w:themeFillShade="D9"/>
            <w:vAlign w:val="center"/>
          </w:tcPr>
          <w:p w14:paraId="42E70BBC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ja </w:t>
            </w:r>
          </w:p>
        </w:tc>
        <w:tc>
          <w:tcPr>
            <w:tcW w:w="1276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FFF2CC" w:themeFill="accent4" w:themeFillTint="33"/>
            <w:vAlign w:val="center"/>
          </w:tcPr>
          <w:p w14:paraId="34BA09C8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nein </w:t>
            </w:r>
          </w:p>
        </w:tc>
        <w:tc>
          <w:tcPr>
            <w:tcW w:w="1134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FFF2CC" w:themeFill="accent4" w:themeFillTint="33"/>
            <w:vAlign w:val="center"/>
          </w:tcPr>
          <w:p w14:paraId="6016195E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nein </w:t>
            </w:r>
          </w:p>
        </w:tc>
        <w:tc>
          <w:tcPr>
            <w:tcW w:w="1276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FFF2CC" w:themeFill="accent4" w:themeFillTint="33"/>
            <w:vAlign w:val="center"/>
          </w:tcPr>
          <w:p w14:paraId="4AD81193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nein </w:t>
            </w:r>
          </w:p>
        </w:tc>
        <w:tc>
          <w:tcPr>
            <w:tcW w:w="1134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DEEAF6" w:themeFill="accent1" w:themeFillTint="33"/>
            <w:vAlign w:val="center"/>
          </w:tcPr>
          <w:p w14:paraId="5E2719DB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ja, lediglich von 1.11. und 15.3. verboten </w:t>
            </w:r>
          </w:p>
        </w:tc>
        <w:tc>
          <w:tcPr>
            <w:tcW w:w="1275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auto"/>
            <w:vAlign w:val="center"/>
          </w:tcPr>
          <w:p w14:paraId="1D17BE27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erst ab </w:t>
            </w:r>
          </w:p>
          <w:p w14:paraId="32E69E9C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BBCH 39 </w:t>
            </w:r>
          </w:p>
          <w:p w14:paraId="545F823D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zulässig </w:t>
            </w:r>
          </w:p>
        </w:tc>
      </w:tr>
      <w:tr w:rsidR="00125961" w14:paraId="39A4190F" w14:textId="77777777" w:rsidTr="00125961">
        <w:tblPrEx>
          <w:tblCellMar>
            <w:top w:w="0" w:type="dxa"/>
            <w:bottom w:w="0" w:type="dxa"/>
          </w:tblCellMar>
        </w:tblPrEx>
        <w:trPr>
          <w:trHeight w:val="880"/>
        </w:trPr>
        <w:tc>
          <w:tcPr>
            <w:tcW w:w="1985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D9D9D9" w:themeFill="background1" w:themeFillShade="D9"/>
            <w:vAlign w:val="center"/>
          </w:tcPr>
          <w:p w14:paraId="55CFC17E" w14:textId="77777777" w:rsid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lastRenderedPageBreak/>
              <w:t>Bienenschutz</w:t>
            </w:r>
          </w:p>
          <w:p w14:paraId="78082EE6" w14:textId="73CB357C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(solo Anwendung) </w:t>
            </w:r>
          </w:p>
        </w:tc>
        <w:tc>
          <w:tcPr>
            <w:tcW w:w="1276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E2EFD9" w:themeFill="accent6" w:themeFillTint="33"/>
            <w:vAlign w:val="center"/>
          </w:tcPr>
          <w:p w14:paraId="6CFC2450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B4 </w:t>
            </w:r>
          </w:p>
        </w:tc>
        <w:tc>
          <w:tcPr>
            <w:tcW w:w="1134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E2EFD9" w:themeFill="accent6" w:themeFillTint="33"/>
            <w:vAlign w:val="center"/>
          </w:tcPr>
          <w:p w14:paraId="200A0D85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B4 </w:t>
            </w:r>
          </w:p>
        </w:tc>
        <w:tc>
          <w:tcPr>
            <w:tcW w:w="1417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E2EFD9" w:themeFill="accent6" w:themeFillTint="33"/>
            <w:vAlign w:val="center"/>
          </w:tcPr>
          <w:p w14:paraId="3CB575EB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B2 </w:t>
            </w:r>
          </w:p>
        </w:tc>
        <w:tc>
          <w:tcPr>
            <w:tcW w:w="1418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E2EFD9" w:themeFill="accent6" w:themeFillTint="33"/>
            <w:vAlign w:val="center"/>
          </w:tcPr>
          <w:p w14:paraId="1879809B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B2 </w:t>
            </w:r>
          </w:p>
        </w:tc>
        <w:tc>
          <w:tcPr>
            <w:tcW w:w="1417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D9D9D9" w:themeFill="background1" w:themeFillShade="D9"/>
            <w:vAlign w:val="center"/>
          </w:tcPr>
          <w:p w14:paraId="084771AF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B4 </w:t>
            </w:r>
          </w:p>
        </w:tc>
        <w:tc>
          <w:tcPr>
            <w:tcW w:w="1276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FFF2CC" w:themeFill="accent4" w:themeFillTint="33"/>
            <w:vAlign w:val="center"/>
          </w:tcPr>
          <w:p w14:paraId="37E102F8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B2 </w:t>
            </w:r>
          </w:p>
        </w:tc>
        <w:tc>
          <w:tcPr>
            <w:tcW w:w="1134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FFF2CC" w:themeFill="accent4" w:themeFillTint="33"/>
            <w:vAlign w:val="center"/>
          </w:tcPr>
          <w:p w14:paraId="4E3BA701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B2 </w:t>
            </w:r>
          </w:p>
        </w:tc>
        <w:tc>
          <w:tcPr>
            <w:tcW w:w="1276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FFF2CC" w:themeFill="accent4" w:themeFillTint="33"/>
            <w:vAlign w:val="center"/>
          </w:tcPr>
          <w:p w14:paraId="6182B311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B1 </w:t>
            </w:r>
          </w:p>
        </w:tc>
        <w:tc>
          <w:tcPr>
            <w:tcW w:w="1134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DEEAF6" w:themeFill="accent1" w:themeFillTint="33"/>
            <w:vAlign w:val="center"/>
          </w:tcPr>
          <w:p w14:paraId="6E1C8DFB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B4 </w:t>
            </w:r>
          </w:p>
        </w:tc>
        <w:tc>
          <w:tcPr>
            <w:tcW w:w="1275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auto"/>
            <w:vAlign w:val="center"/>
          </w:tcPr>
          <w:p w14:paraId="587FCB38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B4 </w:t>
            </w:r>
          </w:p>
        </w:tc>
      </w:tr>
      <w:tr w:rsidR="00125961" w14:paraId="601420F9" w14:textId="77777777" w:rsidTr="00125961">
        <w:tblPrEx>
          <w:tblCellMar>
            <w:top w:w="0" w:type="dxa"/>
            <w:bottom w:w="0" w:type="dxa"/>
          </w:tblCellMar>
        </w:tblPrEx>
        <w:trPr>
          <w:trHeight w:val="880"/>
        </w:trPr>
        <w:tc>
          <w:tcPr>
            <w:tcW w:w="1985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D9D9D9" w:themeFill="background1" w:themeFillShade="D9"/>
            <w:vAlign w:val="center"/>
          </w:tcPr>
          <w:p w14:paraId="44587677" w14:textId="77777777" w:rsid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>Bienenschutz</w:t>
            </w:r>
          </w:p>
          <w:p w14:paraId="676215A2" w14:textId="6EC63126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(Mischung mit Fungiziden*) </w:t>
            </w:r>
          </w:p>
        </w:tc>
        <w:tc>
          <w:tcPr>
            <w:tcW w:w="1276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E2EFD9" w:themeFill="accent6" w:themeFillTint="33"/>
            <w:vAlign w:val="center"/>
          </w:tcPr>
          <w:p w14:paraId="38E4E91B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B1 </w:t>
            </w:r>
          </w:p>
        </w:tc>
        <w:tc>
          <w:tcPr>
            <w:tcW w:w="1134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E2EFD9" w:themeFill="accent6" w:themeFillTint="33"/>
            <w:vAlign w:val="center"/>
          </w:tcPr>
          <w:p w14:paraId="40CF70F3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B1 </w:t>
            </w:r>
          </w:p>
        </w:tc>
        <w:tc>
          <w:tcPr>
            <w:tcW w:w="1417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E2EFD9" w:themeFill="accent6" w:themeFillTint="33"/>
            <w:vAlign w:val="center"/>
          </w:tcPr>
          <w:p w14:paraId="712CE055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B1 </w:t>
            </w:r>
          </w:p>
        </w:tc>
        <w:tc>
          <w:tcPr>
            <w:tcW w:w="1418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E2EFD9" w:themeFill="accent6" w:themeFillTint="33"/>
            <w:vAlign w:val="center"/>
          </w:tcPr>
          <w:p w14:paraId="61A716B6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B1 </w:t>
            </w:r>
          </w:p>
        </w:tc>
        <w:tc>
          <w:tcPr>
            <w:tcW w:w="1417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D9D9D9" w:themeFill="background1" w:themeFillShade="D9"/>
            <w:vAlign w:val="center"/>
          </w:tcPr>
          <w:p w14:paraId="621F2B71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B1 </w:t>
            </w:r>
          </w:p>
        </w:tc>
        <w:tc>
          <w:tcPr>
            <w:tcW w:w="1276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FFF2CC" w:themeFill="accent4" w:themeFillTint="33"/>
            <w:vAlign w:val="center"/>
          </w:tcPr>
          <w:p w14:paraId="60D27A65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B2 </w:t>
            </w:r>
          </w:p>
        </w:tc>
        <w:tc>
          <w:tcPr>
            <w:tcW w:w="1134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FFF2CC" w:themeFill="accent4" w:themeFillTint="33"/>
            <w:vAlign w:val="center"/>
          </w:tcPr>
          <w:p w14:paraId="05AE678F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B2 </w:t>
            </w:r>
          </w:p>
        </w:tc>
        <w:tc>
          <w:tcPr>
            <w:tcW w:w="1276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FFF2CC" w:themeFill="accent4" w:themeFillTint="33"/>
            <w:vAlign w:val="center"/>
          </w:tcPr>
          <w:p w14:paraId="0EC79DE3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B1 </w:t>
            </w:r>
          </w:p>
        </w:tc>
        <w:tc>
          <w:tcPr>
            <w:tcW w:w="1134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DEEAF6" w:themeFill="accent1" w:themeFillTint="33"/>
            <w:vAlign w:val="center"/>
          </w:tcPr>
          <w:p w14:paraId="1B00C524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B2 </w:t>
            </w:r>
          </w:p>
        </w:tc>
        <w:tc>
          <w:tcPr>
            <w:tcW w:w="1275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auto"/>
            <w:vAlign w:val="center"/>
          </w:tcPr>
          <w:p w14:paraId="0797A7FC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B2 </w:t>
            </w:r>
          </w:p>
        </w:tc>
      </w:tr>
      <w:tr w:rsidR="00125961" w14:paraId="163FB579" w14:textId="77777777" w:rsidTr="00125961">
        <w:tblPrEx>
          <w:tblCellMar>
            <w:top w:w="0" w:type="dxa"/>
            <w:bottom w:w="0" w:type="dxa"/>
          </w:tblCellMar>
        </w:tblPrEx>
        <w:trPr>
          <w:trHeight w:val="880"/>
        </w:trPr>
        <w:tc>
          <w:tcPr>
            <w:tcW w:w="1985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D9D9D9" w:themeFill="background1" w:themeFillShade="D9"/>
            <w:vAlign w:val="center"/>
          </w:tcPr>
          <w:p w14:paraId="0C11F96B" w14:textId="77777777" w:rsid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>Bienenschutz</w:t>
            </w:r>
          </w:p>
          <w:p w14:paraId="7F41D3A9" w14:textId="063A77C8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(Mischung von Insektiziden) </w:t>
            </w:r>
          </w:p>
        </w:tc>
        <w:tc>
          <w:tcPr>
            <w:tcW w:w="1276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E2EFD9" w:themeFill="accent6" w:themeFillTint="33"/>
            <w:vAlign w:val="center"/>
          </w:tcPr>
          <w:p w14:paraId="1B61E71E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B1 </w:t>
            </w:r>
          </w:p>
        </w:tc>
        <w:tc>
          <w:tcPr>
            <w:tcW w:w="1134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E2EFD9" w:themeFill="accent6" w:themeFillTint="33"/>
            <w:vAlign w:val="center"/>
          </w:tcPr>
          <w:p w14:paraId="15EC32F5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B1 </w:t>
            </w:r>
          </w:p>
        </w:tc>
        <w:tc>
          <w:tcPr>
            <w:tcW w:w="1417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E2EFD9" w:themeFill="accent6" w:themeFillTint="33"/>
            <w:vAlign w:val="center"/>
          </w:tcPr>
          <w:p w14:paraId="216B984E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B1 </w:t>
            </w:r>
          </w:p>
        </w:tc>
        <w:tc>
          <w:tcPr>
            <w:tcW w:w="1418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E2EFD9" w:themeFill="accent6" w:themeFillTint="33"/>
            <w:vAlign w:val="center"/>
          </w:tcPr>
          <w:p w14:paraId="37BE9DC3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B1 </w:t>
            </w:r>
          </w:p>
        </w:tc>
        <w:tc>
          <w:tcPr>
            <w:tcW w:w="1417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D9D9D9" w:themeFill="background1" w:themeFillShade="D9"/>
            <w:vAlign w:val="center"/>
          </w:tcPr>
          <w:p w14:paraId="26B708E0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B1 </w:t>
            </w:r>
          </w:p>
        </w:tc>
        <w:tc>
          <w:tcPr>
            <w:tcW w:w="1276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FFF2CC" w:themeFill="accent4" w:themeFillTint="33"/>
            <w:vAlign w:val="center"/>
          </w:tcPr>
          <w:p w14:paraId="56DC3458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B1 </w:t>
            </w:r>
          </w:p>
        </w:tc>
        <w:tc>
          <w:tcPr>
            <w:tcW w:w="1134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FFF2CC" w:themeFill="accent4" w:themeFillTint="33"/>
            <w:vAlign w:val="center"/>
          </w:tcPr>
          <w:p w14:paraId="58D0EBEF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B1 </w:t>
            </w:r>
          </w:p>
        </w:tc>
        <w:tc>
          <w:tcPr>
            <w:tcW w:w="1276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FFF2CC" w:themeFill="accent4" w:themeFillTint="33"/>
            <w:vAlign w:val="center"/>
          </w:tcPr>
          <w:p w14:paraId="61F8131A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B1 </w:t>
            </w:r>
          </w:p>
        </w:tc>
        <w:tc>
          <w:tcPr>
            <w:tcW w:w="1134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DEEAF6" w:themeFill="accent1" w:themeFillTint="33"/>
            <w:vAlign w:val="center"/>
          </w:tcPr>
          <w:p w14:paraId="0501C023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B1 </w:t>
            </w:r>
          </w:p>
        </w:tc>
        <w:tc>
          <w:tcPr>
            <w:tcW w:w="1275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  <w:shd w:val="clear" w:color="auto" w:fill="auto"/>
            <w:vAlign w:val="center"/>
          </w:tcPr>
          <w:p w14:paraId="2F34C393" w14:textId="77777777" w:rsidR="00125961" w:rsidRPr="00125961" w:rsidRDefault="00125961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125961">
              <w:rPr>
                <w:rFonts w:ascii="Arial" w:hAnsi="Arial" w:cs="Arial"/>
                <w:sz w:val="16"/>
                <w:szCs w:val="16"/>
              </w:rPr>
              <w:t xml:space="preserve">B1 </w:t>
            </w:r>
          </w:p>
        </w:tc>
      </w:tr>
    </w:tbl>
    <w:p w14:paraId="7D2D7BD8" w14:textId="77777777" w:rsidR="00125961" w:rsidRPr="00125961" w:rsidRDefault="00125961" w:rsidP="00125961">
      <w:pPr>
        <w:rPr>
          <w:rFonts w:ascii="Arial" w:hAnsi="Arial" w:cs="Arial"/>
          <w:sz w:val="16"/>
          <w:szCs w:val="16"/>
        </w:rPr>
      </w:pPr>
      <w:r w:rsidRPr="00125961">
        <w:rPr>
          <w:rFonts w:ascii="Arial" w:hAnsi="Arial" w:cs="Arial"/>
          <w:sz w:val="16"/>
          <w:szCs w:val="16"/>
        </w:rPr>
        <w:t>+ Es wird die Verwendung von mindestens 90 % Abdriftminderung durchg</w:t>
      </w:r>
      <w:r w:rsidRPr="00125961">
        <w:rPr>
          <w:rFonts w:ascii="Arial" w:hAnsi="Arial" w:cs="Arial" w:hint="cs"/>
          <w:sz w:val="16"/>
          <w:szCs w:val="16"/>
        </w:rPr>
        <w:t>ä</w:t>
      </w:r>
      <w:r w:rsidRPr="00125961">
        <w:rPr>
          <w:rFonts w:ascii="Arial" w:hAnsi="Arial" w:cs="Arial"/>
          <w:sz w:val="16"/>
          <w:szCs w:val="16"/>
        </w:rPr>
        <w:t>ngig empfohlen, Abst</w:t>
      </w:r>
      <w:r w:rsidRPr="00125961">
        <w:rPr>
          <w:rFonts w:ascii="Arial" w:hAnsi="Arial" w:cs="Arial" w:hint="cs"/>
          <w:sz w:val="16"/>
          <w:szCs w:val="16"/>
        </w:rPr>
        <w:t>ä</w:t>
      </w:r>
      <w:r w:rsidRPr="00125961">
        <w:rPr>
          <w:rFonts w:ascii="Arial" w:hAnsi="Arial" w:cs="Arial"/>
          <w:sz w:val="16"/>
          <w:szCs w:val="16"/>
        </w:rPr>
        <w:t xml:space="preserve">nde bei weniger </w:t>
      </w:r>
      <w:proofErr w:type="spellStart"/>
      <w:r w:rsidRPr="00125961">
        <w:rPr>
          <w:rFonts w:ascii="Arial" w:hAnsi="Arial" w:cs="Arial"/>
          <w:sz w:val="16"/>
          <w:szCs w:val="16"/>
        </w:rPr>
        <w:t>Abdirftminderung</w:t>
      </w:r>
      <w:proofErr w:type="spellEnd"/>
      <w:r w:rsidRPr="00125961">
        <w:rPr>
          <w:rFonts w:ascii="Arial" w:hAnsi="Arial" w:cs="Arial"/>
          <w:sz w:val="16"/>
          <w:szCs w:val="16"/>
        </w:rPr>
        <w:t xml:space="preserve"> sind in dieser Tabelle nicht aufgef</w:t>
      </w:r>
      <w:r w:rsidRPr="00125961">
        <w:rPr>
          <w:rFonts w:ascii="Arial" w:hAnsi="Arial" w:cs="Arial" w:hint="cs"/>
          <w:sz w:val="16"/>
          <w:szCs w:val="16"/>
        </w:rPr>
        <w:t>ü</w:t>
      </w:r>
      <w:r w:rsidRPr="00125961">
        <w:rPr>
          <w:rFonts w:ascii="Arial" w:hAnsi="Arial" w:cs="Arial"/>
          <w:sz w:val="16"/>
          <w:szCs w:val="16"/>
        </w:rPr>
        <w:t>hrt.</w:t>
      </w:r>
    </w:p>
    <w:p w14:paraId="54F4FF95" w14:textId="77777777" w:rsidR="00125961" w:rsidRPr="00125961" w:rsidRDefault="00125961" w:rsidP="00125961">
      <w:pPr>
        <w:rPr>
          <w:rFonts w:ascii="Arial" w:hAnsi="Arial" w:cs="Arial"/>
          <w:sz w:val="16"/>
          <w:szCs w:val="16"/>
        </w:rPr>
      </w:pPr>
      <w:r w:rsidRPr="00125961">
        <w:rPr>
          <w:rFonts w:ascii="Arial" w:hAnsi="Arial" w:cs="Arial"/>
          <w:sz w:val="16"/>
          <w:szCs w:val="16"/>
        </w:rPr>
        <w:t xml:space="preserve">* Fungiziden aus der Gruppe der </w:t>
      </w:r>
      <w:proofErr w:type="spellStart"/>
      <w:r w:rsidRPr="00125961">
        <w:rPr>
          <w:rFonts w:ascii="Arial" w:hAnsi="Arial" w:cs="Arial"/>
          <w:sz w:val="16"/>
          <w:szCs w:val="16"/>
        </w:rPr>
        <w:t>Ergosterol</w:t>
      </w:r>
      <w:proofErr w:type="spellEnd"/>
      <w:r w:rsidRPr="00125961">
        <w:rPr>
          <w:rFonts w:ascii="Arial" w:hAnsi="Arial" w:cs="Arial"/>
          <w:sz w:val="16"/>
          <w:szCs w:val="16"/>
        </w:rPr>
        <w:t>-Biosynthese-Hemmer</w:t>
      </w:r>
    </w:p>
    <w:p w14:paraId="2CE9C713" w14:textId="103ADE16" w:rsidR="000C3EA5" w:rsidRPr="00125961" w:rsidRDefault="00125961" w:rsidP="00125961">
      <w:pPr>
        <w:rPr>
          <w:rFonts w:ascii="Arial" w:hAnsi="Arial" w:cs="Arial"/>
          <w:sz w:val="16"/>
          <w:szCs w:val="16"/>
        </w:rPr>
      </w:pPr>
      <w:r w:rsidRPr="00125961">
        <w:rPr>
          <w:rFonts w:ascii="Arial" w:hAnsi="Arial" w:cs="Arial"/>
          <w:sz w:val="16"/>
          <w:szCs w:val="16"/>
        </w:rPr>
        <w:t>Quelle: Dr. J</w:t>
      </w:r>
      <w:r>
        <w:rPr>
          <w:rFonts w:ascii="Arial" w:hAnsi="Arial" w:cs="Arial"/>
          <w:sz w:val="16"/>
          <w:szCs w:val="16"/>
        </w:rPr>
        <w:t>.</w:t>
      </w:r>
      <w:r w:rsidRPr="00125961">
        <w:rPr>
          <w:rFonts w:ascii="Arial" w:hAnsi="Arial" w:cs="Arial"/>
          <w:sz w:val="16"/>
          <w:szCs w:val="16"/>
        </w:rPr>
        <w:t xml:space="preserve"> M</w:t>
      </w:r>
      <w:r w:rsidRPr="00125961">
        <w:rPr>
          <w:rFonts w:ascii="Arial" w:hAnsi="Arial" w:cs="Arial" w:hint="cs"/>
          <w:sz w:val="16"/>
          <w:szCs w:val="16"/>
        </w:rPr>
        <w:t>ü</w:t>
      </w:r>
      <w:r w:rsidRPr="00125961">
        <w:rPr>
          <w:rFonts w:ascii="Arial" w:hAnsi="Arial" w:cs="Arial"/>
          <w:sz w:val="16"/>
          <w:szCs w:val="16"/>
        </w:rPr>
        <w:t>hleisen, RP Stuttgart</w:t>
      </w:r>
    </w:p>
    <w:sectPr w:rsidR="000C3EA5" w:rsidRPr="00125961" w:rsidSect="00125961"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altName w:val="Calibri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Calibri"/>
    <w:panose1 w:val="00000000000000000000"/>
    <w:charset w:val="00"/>
    <w:family w:val="roman"/>
    <w:notTrueType/>
    <w:pitch w:val="default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5961"/>
    <w:rsid w:val="00062B61"/>
    <w:rsid w:val="000C3EA5"/>
    <w:rsid w:val="00125961"/>
    <w:rsid w:val="002444B1"/>
    <w:rsid w:val="008723BE"/>
    <w:rsid w:val="008C32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188ACC"/>
  <w15:chartTrackingRefBased/>
  <w15:docId w15:val="{D89910A2-F6B4-4769-A67F-A19F7FF766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12596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12596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125961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12596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125961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12596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12596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12596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12596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125961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125961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125961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125961"/>
    <w:rPr>
      <w:rFonts w:eastAsiaTheme="majorEastAsia" w:cstheme="majorBidi"/>
      <w:i/>
      <w:iCs/>
      <w:color w:val="2E74B5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125961"/>
    <w:rPr>
      <w:rFonts w:eastAsiaTheme="majorEastAsia" w:cstheme="majorBidi"/>
      <w:color w:val="2E74B5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125961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125961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125961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125961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12596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12596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12596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12596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12596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125961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125961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125961"/>
    <w:rPr>
      <w:i/>
      <w:iCs/>
      <w:color w:val="2E74B5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125961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125961"/>
    <w:rPr>
      <w:i/>
      <w:iCs/>
      <w:color w:val="2E74B5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125961"/>
    <w:rPr>
      <w:b/>
      <w:bCs/>
      <w:smallCaps/>
      <w:color w:val="2E74B5" w:themeColor="accent1" w:themeShade="BF"/>
      <w:spacing w:val="5"/>
    </w:rPr>
  </w:style>
  <w:style w:type="paragraph" w:customStyle="1" w:styleId="Default">
    <w:name w:val="Default"/>
    <w:rsid w:val="00125961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314</Words>
  <Characters>1982</Characters>
  <Application>Microsoft Office Word</Application>
  <DocSecurity>0</DocSecurity>
  <Lines>16</Lines>
  <Paragraphs>4</Paragraphs>
  <ScaleCrop>false</ScaleCrop>
  <Company>BITBW</Company>
  <LinksUpToDate>false</LinksUpToDate>
  <CharactersWithSpaces>2292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Bundschuh, Bernhard (LTZ)</dc:creator>
  <cp:keywords/>
  <dc:description/>
  <cp:lastModifiedBy>Bundschuh, Bernhard (LTZ)</cp:lastModifiedBy>
  <cp:revision>1</cp:revision>
  <dcterms:created xsi:type="dcterms:W3CDTF">2026-05-20T07:16:00Z</dcterms:created>
  <dcterms:modified xsi:type="dcterms:W3CDTF">2026-05-20T07:26:00Z</dcterms:modified>
</cp:coreProperties>
</file>